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BE" w:rsidRPr="00C55E75" w:rsidRDefault="00C90BBE" w:rsidP="00C90BBE">
      <w:pPr>
        <w:pStyle w:val="BodyText"/>
        <w:jc w:val="center"/>
        <w:rPr>
          <w:b/>
          <w:bCs/>
        </w:rPr>
      </w:pPr>
      <w:r w:rsidRPr="00C55E75">
        <w:rPr>
          <w:b/>
          <w:bCs/>
        </w:rPr>
        <w:t>ANEXA 1</w:t>
      </w:r>
    </w:p>
    <w:p w:rsidR="00C90BBE" w:rsidRPr="00C55E75" w:rsidRDefault="00C90BBE" w:rsidP="00C90BBE">
      <w:pPr>
        <w:pStyle w:val="BodyText"/>
        <w:jc w:val="center"/>
        <w:rPr>
          <w:b/>
          <w:bCs/>
        </w:rPr>
      </w:pPr>
      <w:r w:rsidRPr="00C55E75">
        <w:rPr>
          <w:b/>
        </w:rPr>
        <w:t>Regulament privind votul prin corespondenta</w:t>
      </w:r>
    </w:p>
    <w:p w:rsidR="00C90BBE" w:rsidRPr="00C55E75" w:rsidRDefault="00C90BBE" w:rsidP="00C90BBE">
      <w:pPr>
        <w:pStyle w:val="BodyText"/>
      </w:pPr>
    </w:p>
    <w:p w:rsidR="00C90BBE" w:rsidRPr="00C55E75" w:rsidRDefault="00C90BBE" w:rsidP="00C90BBE">
      <w:pPr>
        <w:pStyle w:val="BodyText"/>
        <w:jc w:val="both"/>
      </w:pPr>
      <w:r w:rsidRPr="00C55E75">
        <w:t xml:space="preserve">Votul prin corespondenta se exercita conform regulilor expuse in cele ce urmeaza. </w:t>
      </w:r>
    </w:p>
    <w:p w:rsidR="00C90BBE" w:rsidRPr="00C55E75" w:rsidRDefault="00C90BBE" w:rsidP="00C90BBE">
      <w:pPr>
        <w:pStyle w:val="BodyText"/>
        <w:numPr>
          <w:ilvl w:val="0"/>
          <w:numId w:val="8"/>
        </w:numPr>
        <w:jc w:val="both"/>
        <w:rPr>
          <w:b/>
          <w:bCs/>
        </w:rPr>
      </w:pPr>
      <w:bookmarkStart w:id="0" w:name="_Ref319591946"/>
      <w:r w:rsidRPr="00C55E75">
        <w:rPr>
          <w:b/>
          <w:bCs/>
        </w:rPr>
        <w:t>Buletinele de Vot</w:t>
      </w:r>
      <w:bookmarkEnd w:id="0"/>
    </w:p>
    <w:p w:rsidR="00C90BBE" w:rsidRPr="00C55E75" w:rsidRDefault="00C90BBE" w:rsidP="00C90BBE">
      <w:pPr>
        <w:pStyle w:val="BodyText"/>
        <w:jc w:val="both"/>
      </w:pPr>
      <w:r w:rsidRPr="00C55E75">
        <w:t xml:space="preserve">Cu ocazia tinerii adunarilor generale ale actionarilor Societatii, actionarii inscrisi in registrul actionarilor la data de referinta publicata in anuntul de convocare pot participa la adunarea generala personal, prin reprezentanti sau prin corespondenta. </w:t>
      </w:r>
    </w:p>
    <w:p w:rsidR="00C90BBE" w:rsidRPr="00C55E75" w:rsidRDefault="00C90BBE" w:rsidP="00C90BBE">
      <w:pPr>
        <w:pStyle w:val="BodyText"/>
        <w:jc w:val="both"/>
      </w:pPr>
      <w:r w:rsidRPr="00C55E75">
        <w:t xml:space="preserve">Votul prin corespondenta poate fi utilizat de orice actionar, persoana fizica sau juridica, atat la lucrarile adunarilor generale ordinare, cat si la lucrarile celor extraordinare. In scopul exercitarii de catre actionari a votului prin corespondenta, Societatea va elabora, tipari si va pune la dispozitia actionarilor, pe cheltuiala Societatii, buletine de vot speciale aferente fiecarei adunari generale a actionarilor. Buletinele de vot vor fi puse la dispozitia actionarilor in conditiile aratate in anuntul de convocare, cu cel putin 30 de zile inainte de data adunarii. </w:t>
      </w:r>
    </w:p>
    <w:p w:rsidR="00C90BBE" w:rsidRPr="00C55E75" w:rsidRDefault="00C90BBE" w:rsidP="00C90BBE">
      <w:pPr>
        <w:pStyle w:val="BodyText"/>
        <w:jc w:val="both"/>
      </w:pPr>
      <w:r w:rsidRPr="00C55E75">
        <w:t xml:space="preserve">Fiecare buletin de vot va contine o singura rezolutie supusa votului in cadrul respectivei adunari. In cazul adunarilor generale care au pe ordinea de zi mai multe puncte, se vor redacta atatea tipuri de buletine cate rezolutii sunt supuse aprobarii adunarii respective. </w:t>
      </w:r>
    </w:p>
    <w:p w:rsidR="00C90BBE" w:rsidRPr="00C55E75" w:rsidRDefault="00C90BBE" w:rsidP="00C90BBE">
      <w:pPr>
        <w:pStyle w:val="BodyText"/>
        <w:jc w:val="both"/>
      </w:pPr>
      <w:r w:rsidRPr="00C55E75">
        <w:t xml:space="preserve">Textul rezolutiilor inscrise in buletinele de vot vor fi identice cu textul rezolutiilor inscrise in proiectul de hotarare, care va fi publicat inainte de sedinta adunarii, conform celor indicate in anuntul de convocare. Fiecare buletin va fi astfel redactat incat in legatura cu rezolutia propusa actionarul sa poata alege una din cele trei optiuni de vot („pentru”, „impotriva” sau „abtinere”). Pe buletinele de vot se va face mentiune expresa ca actionarul trebuie sa aleaga o singura optiune din cele trei mentionate mai sus. </w:t>
      </w:r>
    </w:p>
    <w:p w:rsidR="00D87E85" w:rsidRPr="00C55E75" w:rsidRDefault="00D87E85" w:rsidP="00C90BBE">
      <w:pPr>
        <w:pStyle w:val="BodyText"/>
        <w:jc w:val="both"/>
      </w:pPr>
    </w:p>
    <w:p w:rsidR="00C90BBE" w:rsidRPr="00C55E75" w:rsidRDefault="00D87E85" w:rsidP="00C90BBE">
      <w:pPr>
        <w:pStyle w:val="BodyText"/>
        <w:numPr>
          <w:ilvl w:val="0"/>
          <w:numId w:val="8"/>
        </w:numPr>
        <w:jc w:val="both"/>
        <w:rPr>
          <w:b/>
          <w:bCs/>
          <w:iCs/>
        </w:rPr>
      </w:pPr>
      <w:r w:rsidRPr="00C55E75">
        <w:rPr>
          <w:b/>
          <w:bCs/>
          <w:iCs/>
        </w:rPr>
        <w:t>Completarea buletinelor de vot</w:t>
      </w:r>
    </w:p>
    <w:p w:rsidR="00C90BBE" w:rsidRPr="00C55E75" w:rsidRDefault="00C90BBE" w:rsidP="00D87E85">
      <w:pPr>
        <w:pStyle w:val="BodyText"/>
        <w:jc w:val="both"/>
      </w:pPr>
      <w:r w:rsidRPr="00C55E75">
        <w:t>Buletinele de vot completate de catre actionari vor fi trimise in plicuri inchise prin posta sau serviciu de curierat rapid la adresa mentionata in convocator</w:t>
      </w:r>
      <w:r w:rsidR="006331D9" w:rsidRPr="00C55E75">
        <w:t xml:space="preserve"> sau transmise prin intermediul postei electronice, caz in care mesajul va fi insotit de o semnatura electronica extinsa</w:t>
      </w:r>
      <w:r w:rsidRPr="00C55E75">
        <w:t xml:space="preserve">; </w:t>
      </w:r>
      <w:r w:rsidR="00BD7A25" w:rsidRPr="00C55E75">
        <w:t>in plus, buletinele</w:t>
      </w:r>
      <w:r w:rsidRPr="00C55E75">
        <w:t xml:space="preserve"> vor putea fi depuse</w:t>
      </w:r>
      <w:r w:rsidR="00BD7A25" w:rsidRPr="00C55E75">
        <w:t xml:space="preserve"> si</w:t>
      </w:r>
      <w:r w:rsidRPr="00C55E75">
        <w:t xml:space="preserve"> la registratura Societatii in conformitate cu mentiunile cuprinse in convocator. Transmiterea sau, dupa caz, depunerea buletinelor de vot se va face astfel incat ele sa fie inregistrate la registratura Societatii in termenul indicat in anuntul de convocare. </w:t>
      </w:r>
    </w:p>
    <w:p w:rsidR="00D87E85" w:rsidRPr="00C55E75" w:rsidRDefault="00D87E85" w:rsidP="00D87E85">
      <w:pPr>
        <w:pStyle w:val="BodyText"/>
        <w:jc w:val="both"/>
      </w:pPr>
      <w:r w:rsidRPr="00C55E75">
        <w:t>In cazul in care ordinea de zi contine puncte pentru care votul este secret, buletinele de vot aferente respectivelor puncte vor fi inserate in plicuri distincte, care vor fi sigilate si vor purta mentiunea ”vot secret”, impreuna cu identificarea punctului relevant de pe ordinea de zi. Plicurile sigilate distincte continand buletinele de vot aferente punctelor de pe ordinea de zi pentru care votul este secret vor putea fi introduse in acelasi plic care va contine buletinele de vot aferente punctelor pentru care votul este deschis.</w:t>
      </w:r>
    </w:p>
    <w:p w:rsidR="00D87E85" w:rsidRPr="00C55E75" w:rsidRDefault="00D87E85" w:rsidP="00D87E85">
      <w:pPr>
        <w:pStyle w:val="BodyText"/>
        <w:jc w:val="both"/>
      </w:pPr>
    </w:p>
    <w:p w:rsidR="00D87E85" w:rsidRPr="00C55E75" w:rsidRDefault="00D87E85" w:rsidP="00D87E85">
      <w:pPr>
        <w:pStyle w:val="BodyText"/>
        <w:jc w:val="both"/>
      </w:pPr>
      <w:r w:rsidRPr="00C55E75">
        <w:t xml:space="preserve">EXEMPLU PRACTIC: Ordinea de zi a unei adunari generale include 4 puncte, dintre care primele doua puncte (i.e. punctele 1-2) necesita vot secret, iar urmatoarele doua puncte (i.e. punctele 3-4) necesita vot deschis. In acest caz, fiecare din cele doua buletine aferente punctelor 1 si 2 de pe ordinea de zi (pentru care votul este secret) vor fi introduse in cate un plic distinct (care se vor sigila si vor indica: ”Buletin de vot secret – Pct. 1 de pe ordinea de zi”, respectiv ”Buletin de vot secret – Pct. 2 de pe ordinea de zi”). Buletinele de vot aferente punctelor 3-4, pentru care votul este deschis (in total, doua buletine), vor putea fi introduse in </w:t>
      </w:r>
      <w:r w:rsidRPr="00C55E75">
        <w:lastRenderedPageBreak/>
        <w:t>acelasi plic in care sunt introduse cele două plicuri continand buletinele de vot aferente punctelor pentru care votul este secret (i.e. pentru a trimite Societatii doar un singur plic ce va include: doua plicuri aferente fiecaruia din cele doua puncte de pe ordinea de zi pentru care votul este secret si doua buletine de vot aferente punctelor pentru care votul este deschis).</w:t>
      </w:r>
    </w:p>
    <w:p w:rsidR="00D87E85" w:rsidRPr="00C55E75" w:rsidRDefault="00D87E85" w:rsidP="00D87E85">
      <w:pPr>
        <w:pStyle w:val="BodyText"/>
        <w:jc w:val="both"/>
      </w:pPr>
      <w:r w:rsidRPr="00C55E75">
        <w:t xml:space="preserve">Buletinele de vot transmise / depuse fara respectarea termenului stabilit in convocator sau fara respectarea procedurii de transmitere prevazute de prezentul Regulament sunt nule de drept. Constatarea nulitatii se va face de catre comisia responsabila cu votul prin corespondenta. </w:t>
      </w:r>
    </w:p>
    <w:p w:rsidR="00D87E85" w:rsidRPr="00C55E75" w:rsidRDefault="00D87E85" w:rsidP="00D87E85">
      <w:pPr>
        <w:pStyle w:val="BodyText"/>
        <w:jc w:val="both"/>
      </w:pPr>
      <w:r w:rsidRPr="00C55E75">
        <w:t xml:space="preserve">Buletinele de vot vor fi completate cu datele de identificare complete ale actionarilor, adica nume, prenume, domiciliu, cod numeric personal si numarul de actiuni detinute pentru persoane fizice, respectiv denumire, sediu, numar de inregistrare in registrul special de evidenta (cod unic de inregistrare sau numar de inmatriculare la registrul comertului), numele, prenumele si codul numeric personal al reprezentantului legal, precum si numarul de actiuni detinute, pentru persoane juridice. </w:t>
      </w:r>
    </w:p>
    <w:p w:rsidR="00D87E85" w:rsidRPr="00C55E75" w:rsidRDefault="00D87E85" w:rsidP="00D87E85">
      <w:pPr>
        <w:pStyle w:val="BodyText"/>
        <w:jc w:val="both"/>
      </w:pPr>
      <w:r w:rsidRPr="00C55E75">
        <w:t>In cazul actionarilor persoane juridice buletinul de vot va fi semnat si stampilat personal de catre reprezentantul legal al persoanei juridice conform actului constitutiv sau hotararii organelor statutare, semnatarul asumandu-si deplina si exclusiva responsabilitate pentru autenticitatea calitatii si semnaturii. Actionarii persoane fizice vor semna personal buletinul de vot, semnatarii asumandu-si deplina si exclusiva responsabilitate pentru calitatea de actionar si autenticitatea semnaturii.</w:t>
      </w:r>
    </w:p>
    <w:p w:rsidR="00D87E85" w:rsidRPr="00C55E75" w:rsidRDefault="00D87E85" w:rsidP="00D87E85">
      <w:pPr>
        <w:pStyle w:val="BodyText"/>
        <w:jc w:val="both"/>
      </w:pPr>
      <w:r w:rsidRPr="00C55E75">
        <w:t>Pentru actionarii persoane fizice lipsite de capacitate de exercitiu, ori cu capacitate restransa, buletinele de vot prin corespondenta vor fi semnate de catre reprezentantii lor legali, acestia asumandu-si atat calitatea pe care o au precum si autenticitatea semnaturii.</w:t>
      </w:r>
    </w:p>
    <w:p w:rsidR="00C90BBE" w:rsidRPr="00C55E75" w:rsidRDefault="00D87E85" w:rsidP="00D87E85">
      <w:pPr>
        <w:pStyle w:val="BodyText"/>
        <w:jc w:val="both"/>
      </w:pPr>
      <w:r w:rsidRPr="00C55E75">
        <w:t>In cazul in care la una sau mai multe rezolutii optiunea este multipla, ilizibila sau este exprimata conditionat, ori s-au utilizat alte formulare de buletine de vot, voturile aferente acelor rezolutii vor fi anulate pentru motivul exprimarii viciate a consimtamantului, dar vor fi luate in calculul cvorumului.</w:t>
      </w:r>
      <w:r w:rsidR="00C90BBE" w:rsidRPr="00C55E75">
        <w:t xml:space="preserve"> </w:t>
      </w:r>
    </w:p>
    <w:p w:rsidR="00D87E85" w:rsidRPr="00C55E75" w:rsidRDefault="00D87E85" w:rsidP="00C90BBE">
      <w:pPr>
        <w:pStyle w:val="BodyText"/>
        <w:jc w:val="both"/>
      </w:pPr>
    </w:p>
    <w:p w:rsidR="00C90BBE" w:rsidRPr="00C55E75" w:rsidRDefault="00C90BBE" w:rsidP="00C90BBE">
      <w:pPr>
        <w:pStyle w:val="BodyText"/>
        <w:numPr>
          <w:ilvl w:val="0"/>
          <w:numId w:val="8"/>
        </w:numPr>
        <w:jc w:val="both"/>
        <w:rPr>
          <w:b/>
          <w:bCs/>
        </w:rPr>
      </w:pPr>
      <w:r w:rsidRPr="00C55E75">
        <w:rPr>
          <w:b/>
          <w:bCs/>
        </w:rPr>
        <w:t>Comisia responsabila cu votul prin corespondenta</w:t>
      </w:r>
    </w:p>
    <w:p w:rsidR="00D87E85" w:rsidRPr="00C55E75" w:rsidRDefault="00D87E85" w:rsidP="00D87E85">
      <w:pPr>
        <w:pStyle w:val="BodyText"/>
        <w:ind w:left="720"/>
        <w:jc w:val="both"/>
        <w:rPr>
          <w:b/>
          <w:bCs/>
        </w:rPr>
      </w:pPr>
    </w:p>
    <w:p w:rsidR="00C90BBE" w:rsidRPr="00C55E75" w:rsidRDefault="00C90BBE" w:rsidP="00C90BBE">
      <w:pPr>
        <w:pStyle w:val="BodyText"/>
        <w:jc w:val="both"/>
      </w:pPr>
      <w:r w:rsidRPr="00C55E75">
        <w:t>In vederea prelucrarii buletinelor de vot, Presedintele Consiliului de Administratie va desemna componenta nominala a membrilor comisiei responsabile cu centralizarea si tinerea evidentei voturilor exprimate prin corespondenta, respectiv transmise prin posta sau depuse la sediile mentionate in convocator. Decizia va specifica responsabilitatile acesteia si procedurile de centralizare si prelucrare a voturilor.</w:t>
      </w:r>
    </w:p>
    <w:p w:rsidR="00C90BBE" w:rsidRPr="00C55E75" w:rsidRDefault="00C90BBE" w:rsidP="00C90BBE">
      <w:pPr>
        <w:pStyle w:val="BodyText"/>
        <w:jc w:val="both"/>
      </w:pPr>
      <w:r w:rsidRPr="00C55E75">
        <w:t>Comisia va fi compusa din 3 membri, dintre care cel putin unul va avea pregatire juridica. Presedintele Consiliului de Administratie va numi unul din membrii comisiei in calitate de presedinte.</w:t>
      </w:r>
    </w:p>
    <w:p w:rsidR="00C614F5" w:rsidRPr="00C55E75" w:rsidRDefault="00C90BBE" w:rsidP="00C90BBE">
      <w:pPr>
        <w:pStyle w:val="BodyText"/>
        <w:jc w:val="both"/>
      </w:pPr>
      <w:r w:rsidRPr="00C55E75">
        <w:t>Dupa expirarea termenului de depunere / transmitere a voturilor prin corespondenta, comisia desemnata conform prevederilor de mai sus va centraliza toate voturile sosite prin corespondenta si va incheia un proces-verbal in care va consemna rezultatele voturilor. La inceperea lucrarilor adunarii generale, comisia va inainta Presedintelui Consiliului de Administratie (sau aceluia care ii tine locul) procesul verbal, ca si orice informatie relevanta referitoare la modul de exercitare a votului de catre actionarii care au votat prin corespondenta. La data adunarii, presedintele comisiei va lua parte la dezbateri.</w:t>
      </w:r>
    </w:p>
    <w:p w:rsidR="00C90BBE" w:rsidRPr="00C55E75" w:rsidRDefault="00C90BBE" w:rsidP="00C90BBE">
      <w:pPr>
        <w:pStyle w:val="BodyText"/>
        <w:jc w:val="both"/>
      </w:pPr>
      <w:r w:rsidRPr="00C55E75">
        <w:lastRenderedPageBreak/>
        <w:t xml:space="preserve"> </w:t>
      </w:r>
    </w:p>
    <w:p w:rsidR="00C90BBE" w:rsidRPr="00C55E75" w:rsidRDefault="00C90BBE" w:rsidP="00C90BBE">
      <w:pPr>
        <w:pStyle w:val="BodyText"/>
        <w:numPr>
          <w:ilvl w:val="0"/>
          <w:numId w:val="8"/>
        </w:numPr>
        <w:jc w:val="both"/>
        <w:rPr>
          <w:b/>
          <w:bCs/>
        </w:rPr>
      </w:pPr>
      <w:r w:rsidRPr="00C55E75">
        <w:rPr>
          <w:b/>
          <w:bCs/>
        </w:rPr>
        <w:t>Numararea voturilor in cadrul Adunarii</w:t>
      </w:r>
    </w:p>
    <w:p w:rsidR="00D87E85" w:rsidRPr="00C55E75" w:rsidRDefault="00D87E85" w:rsidP="00D87E85">
      <w:pPr>
        <w:pStyle w:val="BodyText"/>
        <w:ind w:left="720"/>
        <w:jc w:val="both"/>
        <w:rPr>
          <w:b/>
          <w:bCs/>
        </w:rPr>
      </w:pPr>
    </w:p>
    <w:p w:rsidR="00C90BBE" w:rsidRPr="00C55E75" w:rsidRDefault="00C90BBE" w:rsidP="00C90BBE">
      <w:pPr>
        <w:pStyle w:val="BodyText"/>
        <w:jc w:val="both"/>
      </w:pPr>
      <w:r w:rsidRPr="00C55E75">
        <w:t>In cadrul adunarii generale, cu ocazia verificarii cvorumului, presedintele comisiei va transmite secretariatului adunarii situatia voturilor anulate pentru transmiterea cu intarziere sau pentru incalcarea prezentei proceduri si situatia voturilor anulate pentru vicii de procedura. Primind aceasta situatie, secretarul sedintei va stabili cvorumul tinand cont de urmatoarele reguli:</w:t>
      </w:r>
    </w:p>
    <w:p w:rsidR="00C90BBE" w:rsidRPr="00C55E75" w:rsidRDefault="00C90BBE" w:rsidP="00C614F5">
      <w:pPr>
        <w:pStyle w:val="BodyText"/>
        <w:numPr>
          <w:ilvl w:val="0"/>
          <w:numId w:val="9"/>
        </w:numPr>
        <w:jc w:val="both"/>
      </w:pPr>
      <w:r w:rsidRPr="00C55E75">
        <w:t>voturile nule de drept (voturi transmise Societatii dupa expirarea termenului din anuntul de convocare, voturi care nu identifica actionarul care le-a transmis etc.) nu se iau in considerare nici la calculul cvorumului nici la calculul voturilor pentru rezolutia la care se refera;</w:t>
      </w:r>
    </w:p>
    <w:p w:rsidR="00C90BBE" w:rsidRPr="00C55E75" w:rsidRDefault="00C90BBE" w:rsidP="00C614F5">
      <w:pPr>
        <w:pStyle w:val="BodyText"/>
        <w:numPr>
          <w:ilvl w:val="0"/>
          <w:numId w:val="9"/>
        </w:numPr>
        <w:jc w:val="both"/>
      </w:pPr>
      <w:r w:rsidRPr="00C55E75">
        <w:rPr>
          <w:bCs/>
        </w:rPr>
        <w:t xml:space="preserve">voturile anulate pentru vicii de procedura (sunt ilizibile, contin optiuni contradictorii sau confuze ori sunt exprimate conditionat) </w:t>
      </w:r>
      <w:r w:rsidRPr="00C55E75">
        <w:t>vor fi luate in calcul pentru stabilirea cvorumului, dar nu vor fi luate in considerare atunci cand punctul de pe ordinea de zi la care se refera este supus la vot.</w:t>
      </w:r>
    </w:p>
    <w:p w:rsidR="00C90BBE" w:rsidRPr="00C55E75" w:rsidRDefault="00C90BBE" w:rsidP="00C90BBE">
      <w:pPr>
        <w:pStyle w:val="BodyText"/>
        <w:jc w:val="both"/>
      </w:pPr>
      <w:r w:rsidRPr="00C55E75">
        <w:t>In situatia in care se constata ca un actionar a votat de mai multe ori cu privire la acelasi punct de pe ordinea de zi, se va lua in considerare ultimul vot valabil exprimat.</w:t>
      </w:r>
    </w:p>
    <w:p w:rsidR="00C90BBE" w:rsidRPr="00C55E75" w:rsidRDefault="00C90BBE" w:rsidP="00C90BBE">
      <w:pPr>
        <w:pStyle w:val="BodyText"/>
        <w:jc w:val="both"/>
      </w:pPr>
      <w:r w:rsidRPr="00C55E75">
        <w:t xml:space="preserve">Cu ocazia supunerii la vot a fiecarui punct de pe ordinea de zi, presedintele comisiei responsabile cu votul prin corespondenta va transmite rezultatul voturilor prin corespondenta catre secretariatul adunarii, pentru a se stabili rezultatul voturilor exprimate la respectivul punct de pe ordinea de zi (voturi date de actionarii prezenti sau prin procura, la care se adauga voturile prin corespondenta). </w:t>
      </w:r>
    </w:p>
    <w:p w:rsidR="00D57487" w:rsidRPr="00C55E75" w:rsidRDefault="00C90BBE" w:rsidP="00C90BBE">
      <w:pPr>
        <w:pStyle w:val="BodyText"/>
        <w:jc w:val="both"/>
      </w:pPr>
      <w:r w:rsidRPr="00C55E75">
        <w:t>Modelele de buletine de vot ce se vor pune la dispozitia actionarilor si/sau se vor remite actionarilor prin posta, conform celor specificate in convocator, au un model unic atat pentru persoane fizice cat si pentru cele juridice.</w:t>
      </w:r>
    </w:p>
    <w:p w:rsidR="006D314E" w:rsidRPr="00C55E75" w:rsidRDefault="006D314E" w:rsidP="00C90BBE">
      <w:pPr>
        <w:pStyle w:val="BodyText"/>
        <w:jc w:val="both"/>
      </w:pPr>
    </w:p>
    <w:sectPr w:rsidR="006D314E" w:rsidRPr="00C55E75" w:rsidSect="00A620B5">
      <w:footerReference w:type="default" r:id="rId7"/>
      <w:pgSz w:w="12240" w:h="15840"/>
      <w:pgMar w:top="1440" w:right="1454" w:bottom="1440" w:left="180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2B5" w:rsidRDefault="004C42B5" w:rsidP="00185ABB">
      <w:r>
        <w:separator/>
      </w:r>
    </w:p>
  </w:endnote>
  <w:endnote w:type="continuationSeparator" w:id="1">
    <w:p w:rsidR="004C42B5" w:rsidRDefault="004C42B5" w:rsidP="00185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Frutiger Linotype">
    <w:altName w:val="Tahoma"/>
    <w:charset w:val="00"/>
    <w:family w:val="swiss"/>
    <w:pitch w:val="variable"/>
    <w:sig w:usb0="00000001"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7547"/>
      <w:docPartObj>
        <w:docPartGallery w:val="Page Numbers (Bottom of Page)"/>
        <w:docPartUnique/>
      </w:docPartObj>
    </w:sdtPr>
    <w:sdtContent>
      <w:p w:rsidR="00185ABB" w:rsidRDefault="00425BCC">
        <w:pPr>
          <w:pStyle w:val="Footer"/>
          <w:jc w:val="center"/>
        </w:pPr>
        <w:fldSimple w:instr=" PAGE   \* MERGEFORMAT ">
          <w:r w:rsidR="00910D64">
            <w:rPr>
              <w:noProof/>
            </w:rPr>
            <w:t>1</w:t>
          </w:r>
        </w:fldSimple>
      </w:p>
    </w:sdtContent>
  </w:sdt>
  <w:p w:rsidR="00185ABB" w:rsidRDefault="00185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2B5" w:rsidRDefault="004C42B5" w:rsidP="00185ABB">
      <w:r>
        <w:separator/>
      </w:r>
    </w:p>
  </w:footnote>
  <w:footnote w:type="continuationSeparator" w:id="1">
    <w:p w:rsidR="004C42B5" w:rsidRDefault="004C42B5" w:rsidP="00185A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sz w:val="24"/>
        <w:u w:val="none"/>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88604D"/>
    <w:multiLevelType w:val="hybridMultilevel"/>
    <w:tmpl w:val="EEFCDED6"/>
    <w:lvl w:ilvl="0" w:tplc="C1BA79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ED480F"/>
    <w:multiLevelType w:val="hybridMultilevel"/>
    <w:tmpl w:val="8DDCB2A4"/>
    <w:lvl w:ilvl="0" w:tplc="B85662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FA6060E"/>
    <w:multiLevelType w:val="hybridMultilevel"/>
    <w:tmpl w:val="E4A881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84712C"/>
    <w:multiLevelType w:val="hybridMultilevel"/>
    <w:tmpl w:val="D5BC16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3887C0E"/>
    <w:multiLevelType w:val="hybridMultilevel"/>
    <w:tmpl w:val="F72E2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F582BE0"/>
    <w:multiLevelType w:val="hybridMultilevel"/>
    <w:tmpl w:val="54442B8E"/>
    <w:lvl w:ilvl="0" w:tplc="6E10B84C">
      <w:start w:val="4"/>
      <w:numFmt w:val="bullet"/>
      <w:pStyle w:val="Bulleted"/>
      <w:lvlText w:val=""/>
      <w:lvlJc w:val="left"/>
      <w:pPr>
        <w:tabs>
          <w:tab w:val="num" w:pos="567"/>
        </w:tabs>
        <w:ind w:left="567" w:hanging="567"/>
      </w:pPr>
      <w:rPr>
        <w:rFonts w:ascii="Symbol" w:eastAsia="Times New Roman" w:hAnsi="Symbol" w:cs="Times New Roman" w:hint="default"/>
        <w:b w:val="0"/>
        <w:u w:val="none"/>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841D1"/>
    <w:rsid w:val="000F7403"/>
    <w:rsid w:val="00185ABB"/>
    <w:rsid w:val="00212026"/>
    <w:rsid w:val="00266EE5"/>
    <w:rsid w:val="002F3FD4"/>
    <w:rsid w:val="00330758"/>
    <w:rsid w:val="003B7A67"/>
    <w:rsid w:val="003C47FE"/>
    <w:rsid w:val="00413739"/>
    <w:rsid w:val="00425BCC"/>
    <w:rsid w:val="00481FF2"/>
    <w:rsid w:val="004C42B5"/>
    <w:rsid w:val="005C3F7D"/>
    <w:rsid w:val="006331D9"/>
    <w:rsid w:val="0067680C"/>
    <w:rsid w:val="006D314E"/>
    <w:rsid w:val="006D534C"/>
    <w:rsid w:val="007042CE"/>
    <w:rsid w:val="0076061A"/>
    <w:rsid w:val="007616EE"/>
    <w:rsid w:val="00767DB2"/>
    <w:rsid w:val="00796B0E"/>
    <w:rsid w:val="007C58C5"/>
    <w:rsid w:val="00813061"/>
    <w:rsid w:val="008D08B8"/>
    <w:rsid w:val="00910D64"/>
    <w:rsid w:val="00921F42"/>
    <w:rsid w:val="00946FC4"/>
    <w:rsid w:val="00A0065F"/>
    <w:rsid w:val="00A620B5"/>
    <w:rsid w:val="00A728FE"/>
    <w:rsid w:val="00A96162"/>
    <w:rsid w:val="00B71201"/>
    <w:rsid w:val="00BD7A25"/>
    <w:rsid w:val="00C13F55"/>
    <w:rsid w:val="00C17C7C"/>
    <w:rsid w:val="00C55E75"/>
    <w:rsid w:val="00C5769E"/>
    <w:rsid w:val="00C614F5"/>
    <w:rsid w:val="00C90BBE"/>
    <w:rsid w:val="00CF349E"/>
    <w:rsid w:val="00D57487"/>
    <w:rsid w:val="00D82B18"/>
    <w:rsid w:val="00D87E85"/>
    <w:rsid w:val="00E674F3"/>
    <w:rsid w:val="00E841D1"/>
    <w:rsid w:val="00EB5B9E"/>
    <w:rsid w:val="00EC347C"/>
    <w:rsid w:val="00EE2C7E"/>
    <w:rsid w:val="00F05E43"/>
    <w:rsid w:val="00F20D95"/>
    <w:rsid w:val="00F31D65"/>
    <w:rsid w:val="00F424BE"/>
    <w:rsid w:val="00F73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B5"/>
    <w:pPr>
      <w:suppressAutoHyphens/>
    </w:pPr>
    <w:rPr>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620B5"/>
  </w:style>
  <w:style w:type="character" w:customStyle="1" w:styleId="Bullets">
    <w:name w:val="Bullets"/>
    <w:rsid w:val="00A620B5"/>
    <w:rPr>
      <w:rFonts w:ascii="StarSymbol" w:eastAsia="StarSymbol" w:hAnsi="StarSymbol" w:cs="StarSymbol"/>
      <w:sz w:val="18"/>
      <w:szCs w:val="18"/>
    </w:rPr>
  </w:style>
  <w:style w:type="character" w:customStyle="1" w:styleId="WW8Num1z0">
    <w:name w:val="WW8Num1z0"/>
    <w:rsid w:val="00A620B5"/>
    <w:rPr>
      <w:sz w:val="24"/>
      <w:u w:val="none"/>
    </w:rPr>
  </w:style>
  <w:style w:type="character" w:customStyle="1" w:styleId="WW-Fontdeparagrafimplicit">
    <w:name w:val="WW-Font de paragraf implicit"/>
    <w:rsid w:val="00A620B5"/>
  </w:style>
  <w:style w:type="character" w:customStyle="1" w:styleId="FootnoteCharacters">
    <w:name w:val="Footnote Characters"/>
    <w:rsid w:val="00A620B5"/>
  </w:style>
  <w:style w:type="character" w:customStyle="1" w:styleId="EndnoteCharacters">
    <w:name w:val="Endnote Characters"/>
    <w:rsid w:val="00A620B5"/>
  </w:style>
  <w:style w:type="paragraph" w:styleId="BodyText">
    <w:name w:val="Body Text"/>
    <w:basedOn w:val="Normal"/>
    <w:rsid w:val="00A620B5"/>
    <w:pPr>
      <w:autoSpaceDE w:val="0"/>
    </w:pPr>
    <w:rPr>
      <w:color w:val="000000"/>
    </w:rPr>
  </w:style>
  <w:style w:type="paragraph" w:styleId="List">
    <w:name w:val="List"/>
    <w:basedOn w:val="BodyText"/>
    <w:rsid w:val="00A620B5"/>
    <w:rPr>
      <w:rFonts w:cs="Tahoma"/>
    </w:rPr>
  </w:style>
  <w:style w:type="paragraph" w:customStyle="1" w:styleId="TableContents">
    <w:name w:val="Table Contents"/>
    <w:basedOn w:val="BodyText"/>
    <w:rsid w:val="00A620B5"/>
    <w:pPr>
      <w:suppressLineNumbers/>
    </w:pPr>
  </w:style>
  <w:style w:type="paragraph" w:customStyle="1" w:styleId="TableHeading">
    <w:name w:val="Table Heading"/>
    <w:basedOn w:val="TableContents"/>
    <w:rsid w:val="00A620B5"/>
    <w:pPr>
      <w:jc w:val="center"/>
    </w:pPr>
    <w:rPr>
      <w:b/>
      <w:bCs/>
      <w:i/>
      <w:iCs/>
    </w:rPr>
  </w:style>
  <w:style w:type="paragraph" w:styleId="Caption">
    <w:name w:val="caption"/>
    <w:basedOn w:val="Normal"/>
    <w:qFormat/>
    <w:rsid w:val="00A620B5"/>
    <w:pPr>
      <w:suppressLineNumbers/>
      <w:spacing w:before="120" w:after="120"/>
    </w:pPr>
    <w:rPr>
      <w:rFonts w:cs="Tahoma"/>
      <w:i/>
      <w:iCs/>
      <w:sz w:val="20"/>
      <w:szCs w:val="20"/>
    </w:rPr>
  </w:style>
  <w:style w:type="paragraph" w:customStyle="1" w:styleId="Index">
    <w:name w:val="Index"/>
    <w:basedOn w:val="Normal"/>
    <w:rsid w:val="00A620B5"/>
    <w:pPr>
      <w:suppressLineNumbers/>
    </w:pPr>
    <w:rPr>
      <w:rFonts w:cs="Tahoma"/>
    </w:rPr>
  </w:style>
  <w:style w:type="paragraph" w:styleId="CommentText">
    <w:name w:val="annotation text"/>
    <w:basedOn w:val="Normal"/>
    <w:link w:val="CommentTextChar"/>
    <w:rsid w:val="007C58C5"/>
    <w:pPr>
      <w:suppressAutoHyphens w:val="0"/>
    </w:pPr>
    <w:rPr>
      <w:sz w:val="20"/>
      <w:szCs w:val="20"/>
      <w:lang w:val="en-US" w:eastAsia="en-US"/>
    </w:rPr>
  </w:style>
  <w:style w:type="character" w:customStyle="1" w:styleId="CommentTextChar">
    <w:name w:val="Comment Text Char"/>
    <w:basedOn w:val="DefaultParagraphFont"/>
    <w:link w:val="CommentText"/>
    <w:rsid w:val="007C58C5"/>
  </w:style>
  <w:style w:type="paragraph" w:customStyle="1" w:styleId="Bulleted">
    <w:name w:val="Bulleted"/>
    <w:basedOn w:val="Normal"/>
    <w:rsid w:val="007C58C5"/>
    <w:pPr>
      <w:numPr>
        <w:numId w:val="5"/>
      </w:numPr>
      <w:suppressAutoHyphens w:val="0"/>
    </w:pPr>
    <w:rPr>
      <w:lang w:val="en-US" w:eastAsia="ro-RO"/>
    </w:rPr>
  </w:style>
  <w:style w:type="character" w:styleId="CommentReference">
    <w:name w:val="annotation reference"/>
    <w:uiPriority w:val="99"/>
    <w:rsid w:val="007C58C5"/>
    <w:rPr>
      <w:sz w:val="16"/>
      <w:szCs w:val="16"/>
    </w:rPr>
  </w:style>
  <w:style w:type="paragraph" w:styleId="BalloonText">
    <w:name w:val="Balloon Text"/>
    <w:basedOn w:val="Normal"/>
    <w:link w:val="BalloonTextChar"/>
    <w:uiPriority w:val="99"/>
    <w:semiHidden/>
    <w:unhideWhenUsed/>
    <w:rsid w:val="007C58C5"/>
    <w:rPr>
      <w:rFonts w:ascii="Tahoma" w:hAnsi="Tahoma"/>
      <w:sz w:val="16"/>
      <w:szCs w:val="16"/>
    </w:rPr>
  </w:style>
  <w:style w:type="character" w:customStyle="1" w:styleId="BalloonTextChar">
    <w:name w:val="Balloon Text Char"/>
    <w:link w:val="BalloonText"/>
    <w:uiPriority w:val="99"/>
    <w:semiHidden/>
    <w:rsid w:val="007C58C5"/>
    <w:rPr>
      <w:rFonts w:ascii="Tahoma" w:hAnsi="Tahoma" w:cs="Tahoma"/>
      <w:sz w:val="16"/>
      <w:szCs w:val="16"/>
      <w:lang w:val="ro-RO" w:eastAsia="ar-SA"/>
    </w:rPr>
  </w:style>
  <w:style w:type="character" w:styleId="Hyperlink">
    <w:name w:val="Hyperlink"/>
    <w:uiPriority w:val="99"/>
    <w:unhideWhenUsed/>
    <w:rsid w:val="007C58C5"/>
    <w:rPr>
      <w:color w:val="0000FF"/>
      <w:u w:val="single"/>
    </w:rPr>
  </w:style>
  <w:style w:type="paragraph" w:styleId="Title">
    <w:name w:val="Title"/>
    <w:basedOn w:val="Normal"/>
    <w:next w:val="Normal"/>
    <w:link w:val="TitleChar"/>
    <w:uiPriority w:val="10"/>
    <w:qFormat/>
    <w:rsid w:val="00C90BB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90BBE"/>
    <w:rPr>
      <w:rFonts w:ascii="Cambria" w:eastAsia="Times New Roman" w:hAnsi="Cambria" w:cs="Times New Roman"/>
      <w:b/>
      <w:bCs/>
      <w:kern w:val="28"/>
      <w:sz w:val="32"/>
      <w:szCs w:val="32"/>
      <w:lang w:val="ro-RO" w:eastAsia="ar-SA"/>
    </w:rPr>
  </w:style>
  <w:style w:type="character" w:styleId="FootnoteReference">
    <w:name w:val="footnote reference"/>
    <w:basedOn w:val="DefaultParagraphFont"/>
    <w:rsid w:val="00D87E85"/>
    <w:rPr>
      <w:rFonts w:ascii="Frutiger Linotype" w:hAnsi="Frutiger Linotype"/>
      <w:sz w:val="22"/>
      <w:szCs w:val="16"/>
      <w:vertAlign w:val="superscript"/>
    </w:rPr>
  </w:style>
  <w:style w:type="paragraph" w:styleId="Header">
    <w:name w:val="header"/>
    <w:basedOn w:val="Normal"/>
    <w:link w:val="HeaderChar"/>
    <w:uiPriority w:val="99"/>
    <w:semiHidden/>
    <w:unhideWhenUsed/>
    <w:rsid w:val="00185ABB"/>
    <w:pPr>
      <w:tabs>
        <w:tab w:val="center" w:pos="4680"/>
        <w:tab w:val="right" w:pos="9360"/>
      </w:tabs>
    </w:pPr>
  </w:style>
  <w:style w:type="character" w:customStyle="1" w:styleId="HeaderChar">
    <w:name w:val="Header Char"/>
    <w:basedOn w:val="DefaultParagraphFont"/>
    <w:link w:val="Header"/>
    <w:uiPriority w:val="99"/>
    <w:semiHidden/>
    <w:rsid w:val="00185ABB"/>
    <w:rPr>
      <w:sz w:val="24"/>
      <w:szCs w:val="24"/>
      <w:lang w:val="ro-RO" w:eastAsia="ar-SA"/>
    </w:rPr>
  </w:style>
  <w:style w:type="paragraph" w:styleId="Footer">
    <w:name w:val="footer"/>
    <w:basedOn w:val="Normal"/>
    <w:link w:val="FooterChar"/>
    <w:uiPriority w:val="99"/>
    <w:unhideWhenUsed/>
    <w:rsid w:val="00185ABB"/>
    <w:pPr>
      <w:tabs>
        <w:tab w:val="center" w:pos="4680"/>
        <w:tab w:val="right" w:pos="9360"/>
      </w:tabs>
    </w:pPr>
  </w:style>
  <w:style w:type="character" w:customStyle="1" w:styleId="FooterChar">
    <w:name w:val="Footer Char"/>
    <w:basedOn w:val="DefaultParagraphFont"/>
    <w:link w:val="Footer"/>
    <w:uiPriority w:val="99"/>
    <w:rsid w:val="00185ABB"/>
    <w:rPr>
      <w:sz w:val="24"/>
      <w:szCs w:val="24"/>
      <w:lang w:val="ro-RO"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ADUNAREA GENERALA A ACTIONARILOR</vt:lpstr>
    </vt:vector>
  </TitlesOfParts>
  <Company/>
  <LinksUpToDate>false</LinksUpToDate>
  <CharactersWithSpaces>8925</CharactersWithSpaces>
  <SharedDoc>false</SharedDoc>
  <HLinks>
    <vt:vector size="18" baseType="variant">
      <vt:variant>
        <vt:i4>5374068</vt:i4>
      </vt:variant>
      <vt:variant>
        <vt:i4>9</vt:i4>
      </vt:variant>
      <vt:variant>
        <vt:i4>0</vt:i4>
      </vt:variant>
      <vt:variant>
        <vt:i4>5</vt:i4>
      </vt:variant>
      <vt:variant>
        <vt:lpwstr>mailto:office@luceafarul.ro</vt:lpwstr>
      </vt:variant>
      <vt:variant>
        <vt:lpwstr/>
      </vt:variant>
      <vt:variant>
        <vt:i4>1048650</vt:i4>
      </vt:variant>
      <vt:variant>
        <vt:i4>3</vt:i4>
      </vt:variant>
      <vt:variant>
        <vt:i4>0</vt:i4>
      </vt:variant>
      <vt:variant>
        <vt:i4>5</vt:i4>
      </vt:variant>
      <vt:variant>
        <vt:lpwstr>http://www.luceafarul.ro/</vt:lpwstr>
      </vt:variant>
      <vt:variant>
        <vt:lpwstr/>
      </vt:variant>
      <vt:variant>
        <vt:i4>1048650</vt:i4>
      </vt:variant>
      <vt:variant>
        <vt:i4>0</vt:i4>
      </vt:variant>
      <vt:variant>
        <vt:i4>0</vt:i4>
      </vt:variant>
      <vt:variant>
        <vt:i4>5</vt:i4>
      </vt:variant>
      <vt:variant>
        <vt:lpwstr>http://www.luceafarul.ro/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ADUNAREA GENERALA A ACTIONARILOR</dc:title>
  <dc:subject/>
  <dc:creator>IUSTIN</dc:creator>
  <cp:keywords/>
  <cp:lastModifiedBy>sefmag</cp:lastModifiedBy>
  <cp:revision>3</cp:revision>
  <cp:lastPrinted>2016-03-16T09:20:00Z</cp:lastPrinted>
  <dcterms:created xsi:type="dcterms:W3CDTF">2016-03-17T09:56:00Z</dcterms:created>
  <dcterms:modified xsi:type="dcterms:W3CDTF">2016-03-17T09:57:00Z</dcterms:modified>
</cp:coreProperties>
</file>